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BF" w:rsidRDefault="007279BF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Title"/>
        <w:jc w:val="center"/>
      </w:pPr>
      <w:r>
        <w:t>ПРАВИТЕЛЬСТВО РОССИЙСКОЙ ФЕДЕРАЦИИ</w:t>
      </w:r>
    </w:p>
    <w:p w:rsidR="007279BF" w:rsidRDefault="007279BF">
      <w:pPr>
        <w:pStyle w:val="ConsPlusTitle"/>
        <w:jc w:val="center"/>
      </w:pPr>
    </w:p>
    <w:p w:rsidR="007279BF" w:rsidRDefault="007279BF">
      <w:pPr>
        <w:pStyle w:val="ConsPlusTitle"/>
        <w:jc w:val="center"/>
      </w:pPr>
      <w:r>
        <w:t>ПОСТАНОВЛЕНИЕ</w:t>
      </w:r>
    </w:p>
    <w:p w:rsidR="007279BF" w:rsidRDefault="007279BF">
      <w:pPr>
        <w:pStyle w:val="ConsPlusTitle"/>
        <w:jc w:val="center"/>
      </w:pPr>
      <w:r>
        <w:t>от 2 сентября 2015 г. N 927</w:t>
      </w:r>
    </w:p>
    <w:p w:rsidR="007279BF" w:rsidRDefault="007279BF">
      <w:pPr>
        <w:pStyle w:val="ConsPlusTitle"/>
        <w:jc w:val="center"/>
      </w:pPr>
    </w:p>
    <w:p w:rsidR="007279BF" w:rsidRDefault="007279BF">
      <w:pPr>
        <w:pStyle w:val="ConsPlusTitle"/>
        <w:jc w:val="center"/>
      </w:pPr>
      <w:r>
        <w:t>ОБ ОПРЕДЕЛЕНИИ</w:t>
      </w:r>
    </w:p>
    <w:p w:rsidR="007279BF" w:rsidRDefault="007279BF">
      <w:pPr>
        <w:pStyle w:val="ConsPlusTitle"/>
        <w:jc w:val="center"/>
      </w:pPr>
      <w:r>
        <w:t xml:space="preserve">ТРЕБОВАНИЙ К </w:t>
      </w:r>
      <w:proofErr w:type="gramStart"/>
      <w:r>
        <w:t>ЗАКУПАЕМЫМ</w:t>
      </w:r>
      <w:proofErr w:type="gramEnd"/>
      <w:r>
        <w:t xml:space="preserve"> ФЕДЕРАЛЬНЫМИ</w:t>
      </w:r>
    </w:p>
    <w:p w:rsidR="007279BF" w:rsidRDefault="007279BF">
      <w:pPr>
        <w:pStyle w:val="ConsPlusTitle"/>
        <w:jc w:val="center"/>
      </w:pPr>
      <w:r>
        <w:t>ГОСУДАРСТВЕННЫМИ ОРГАНАМИ, ОРГАНАМИ УПРАВЛЕНИЯ</w:t>
      </w:r>
    </w:p>
    <w:p w:rsidR="007279BF" w:rsidRDefault="007279BF">
      <w:pPr>
        <w:pStyle w:val="ConsPlusTitle"/>
        <w:jc w:val="center"/>
      </w:pPr>
      <w:r>
        <w:t xml:space="preserve">ГОСУДАРСТВЕННЫМИ ВНЕБЮДЖЕТНЫМИ ФОНДАМИ </w:t>
      </w:r>
      <w:proofErr w:type="gramStart"/>
      <w:r>
        <w:t>РОССИЙСКОЙ</w:t>
      </w:r>
      <w:proofErr w:type="gramEnd"/>
    </w:p>
    <w:p w:rsidR="007279BF" w:rsidRDefault="007279BF">
      <w:pPr>
        <w:pStyle w:val="ConsPlusTitle"/>
        <w:jc w:val="center"/>
      </w:pPr>
      <w:r>
        <w:t>ФЕДЕРАЦИИ, ИХ ТЕРРИТОРИАЛЬНЫМИ ОРГАНАМИ И ПОДВЕДОМСТВЕННЫМИ</w:t>
      </w:r>
    </w:p>
    <w:p w:rsidR="007279BF" w:rsidRDefault="007279BF">
      <w:pPr>
        <w:pStyle w:val="ConsPlusTitle"/>
        <w:jc w:val="center"/>
      </w:pPr>
      <w:r>
        <w:t>ИМ КАЗЕННЫМИ И БЮДЖЕТНЫМИ УЧРЕЖДЕНИЯМИ ОТДЕЛЬНЫМ ВИДАМ</w:t>
      </w:r>
    </w:p>
    <w:p w:rsidR="007279BF" w:rsidRDefault="007279BF">
      <w:pPr>
        <w:pStyle w:val="ConsPlusTitle"/>
        <w:jc w:val="center"/>
      </w:pPr>
      <w:proofErr w:type="gramStart"/>
      <w:r>
        <w:t>ТОВАРОВ, РАБОТ, УСЛУГ (В ТОМ ЧИСЛЕ ПРЕДЕЛЬНЫХ ЦЕН</w:t>
      </w:r>
      <w:proofErr w:type="gramEnd"/>
    </w:p>
    <w:p w:rsidR="007279BF" w:rsidRDefault="007279BF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279BF" w:rsidRDefault="007279B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услуг).</w:t>
      </w:r>
      <w:proofErr w:type="gramEnd"/>
    </w:p>
    <w:p w:rsidR="007279BF" w:rsidRDefault="007279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9BF" w:rsidRDefault="007279BF">
      <w:pPr>
        <w:pStyle w:val="ConsPlusNormal"/>
        <w:ind w:firstLine="540"/>
        <w:jc w:val="both"/>
      </w:pPr>
      <w:r>
        <w:t>КонсультантПлюс: примечание.</w:t>
      </w:r>
    </w:p>
    <w:p w:rsidR="007279BF" w:rsidRDefault="007279BF">
      <w:pPr>
        <w:pStyle w:val="ConsPlusNormal"/>
        <w:ind w:firstLine="540"/>
        <w:jc w:val="both"/>
      </w:pPr>
      <w:r>
        <w:t xml:space="preserve">Пункт 2 </w:t>
      </w:r>
      <w:hyperlink w:anchor="P22" w:history="1">
        <w:r>
          <w:rPr>
            <w:color w:val="0000FF"/>
          </w:rPr>
          <w:t>вступил</w:t>
        </w:r>
      </w:hyperlink>
      <w:r>
        <w:t xml:space="preserve"> в силу с 8 сентября 2015 года.</w:t>
      </w:r>
    </w:p>
    <w:p w:rsidR="007279BF" w:rsidRDefault="007279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79BF" w:rsidRDefault="007279BF">
      <w:pPr>
        <w:pStyle w:val="ConsPlusNormal"/>
        <w:ind w:firstLine="540"/>
        <w:jc w:val="both"/>
      </w:pPr>
      <w:bookmarkStart w:id="1" w:name="P21"/>
      <w:bookmarkEnd w:id="1"/>
      <w:r>
        <w:t xml:space="preserve">2. </w:t>
      </w:r>
      <w:proofErr w:type="gramStart"/>
      <w:r>
        <w:t xml:space="preserve">Рекомендовать федеральным государственным органам и органам управления государственными внебюджетными фондами Российской Федерации разработать в соответствии с </w:t>
      </w:r>
      <w:hyperlink w:anchor="P37" w:history="1">
        <w:r>
          <w:rPr>
            <w:color w:val="0000FF"/>
          </w:rPr>
          <w:t>Правилами</w:t>
        </w:r>
      </w:hyperlink>
      <w:r>
        <w:t>, утвержденными настоящим постановлением, и утвердить требования к закупаемым ими, их территориальными органами и подведомственными им казенными и бюджетными учреждениями отдельным видам товаров, работ, услуг (в том числе предельные цены товаров, работ, услуг) в срок, обеспечивающий реализацию указанных требований начиная с 1 января 2016</w:t>
      </w:r>
      <w:proofErr w:type="gramEnd"/>
      <w:r>
        <w:t xml:space="preserve"> </w:t>
      </w:r>
      <w:proofErr w:type="gramStart"/>
      <w:r>
        <w:t>г</w:t>
      </w:r>
      <w:proofErr w:type="gramEnd"/>
      <w:r>
        <w:t>.</w:t>
      </w:r>
    </w:p>
    <w:p w:rsidR="007279BF" w:rsidRDefault="007279BF">
      <w:pPr>
        <w:pStyle w:val="ConsPlusNormal"/>
        <w:ind w:firstLine="540"/>
        <w:jc w:val="both"/>
      </w:pPr>
      <w:bookmarkStart w:id="2" w:name="P22"/>
      <w:bookmarkEnd w:id="2"/>
      <w:r>
        <w:t xml:space="preserve">3. Настоящее постановление вступает в силу с 1 января 2016 г., за исключением </w:t>
      </w:r>
      <w:hyperlink w:anchor="P21" w:history="1">
        <w:r>
          <w:rPr>
            <w:color w:val="0000FF"/>
          </w:rPr>
          <w:t>пункта 2</w:t>
        </w:r>
      </w:hyperlink>
      <w:r>
        <w:t>, вступающего в силу со дня официального опубликования настоящего постановления.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right"/>
      </w:pPr>
      <w:r>
        <w:t>Председатель Правительства</w:t>
      </w:r>
    </w:p>
    <w:p w:rsidR="007279BF" w:rsidRDefault="007279BF">
      <w:pPr>
        <w:pStyle w:val="ConsPlusNormal"/>
        <w:jc w:val="right"/>
      </w:pPr>
      <w:r>
        <w:t>Российской Федерации</w:t>
      </w:r>
    </w:p>
    <w:p w:rsidR="007279BF" w:rsidRDefault="007279BF">
      <w:pPr>
        <w:pStyle w:val="ConsPlusNormal"/>
        <w:jc w:val="right"/>
      </w:pPr>
      <w:r>
        <w:t>Д.МЕДВЕДЕВ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right"/>
      </w:pPr>
      <w:r>
        <w:t>Утверждены</w:t>
      </w:r>
    </w:p>
    <w:p w:rsidR="007279BF" w:rsidRDefault="007279BF">
      <w:pPr>
        <w:pStyle w:val="ConsPlusNormal"/>
        <w:jc w:val="right"/>
      </w:pPr>
      <w:r>
        <w:t>постановлением Правительства</w:t>
      </w:r>
    </w:p>
    <w:p w:rsidR="007279BF" w:rsidRDefault="007279BF">
      <w:pPr>
        <w:pStyle w:val="ConsPlusNormal"/>
        <w:jc w:val="right"/>
      </w:pPr>
      <w:r>
        <w:t>Российской Федерации</w:t>
      </w:r>
    </w:p>
    <w:p w:rsidR="007279BF" w:rsidRDefault="007279BF">
      <w:pPr>
        <w:pStyle w:val="ConsPlusNormal"/>
        <w:jc w:val="right"/>
      </w:pPr>
      <w:r>
        <w:t>от 2 сентября 2015 г. N 927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Title"/>
        <w:jc w:val="center"/>
      </w:pPr>
      <w:bookmarkStart w:id="3" w:name="P37"/>
      <w:bookmarkEnd w:id="3"/>
      <w:r>
        <w:t>ПРАВИЛА</w:t>
      </w:r>
    </w:p>
    <w:p w:rsidR="007279BF" w:rsidRDefault="007279BF">
      <w:pPr>
        <w:pStyle w:val="ConsPlusTitle"/>
        <w:jc w:val="center"/>
      </w:pPr>
      <w:r>
        <w:t xml:space="preserve">ОПРЕДЕЛЕНИЯ ТРЕБОВАНИЙ К </w:t>
      </w:r>
      <w:proofErr w:type="gramStart"/>
      <w:r>
        <w:t>ЗАКУПАЕМЫМ</w:t>
      </w:r>
      <w:proofErr w:type="gramEnd"/>
      <w:r>
        <w:t xml:space="preserve"> ФЕДЕРАЛЬНЫМИ</w:t>
      </w:r>
    </w:p>
    <w:p w:rsidR="007279BF" w:rsidRDefault="007279BF">
      <w:pPr>
        <w:pStyle w:val="ConsPlusTitle"/>
        <w:jc w:val="center"/>
      </w:pPr>
      <w:r>
        <w:lastRenderedPageBreak/>
        <w:t>ГОСУДАРСТВЕННЫМИ ОРГАНАМИ, ОРГАНАМИ УПРАВЛЕНИЯ</w:t>
      </w:r>
    </w:p>
    <w:p w:rsidR="007279BF" w:rsidRDefault="007279BF">
      <w:pPr>
        <w:pStyle w:val="ConsPlusTitle"/>
        <w:jc w:val="center"/>
      </w:pPr>
      <w:r>
        <w:t xml:space="preserve">ГОСУДАРСТВЕННЫМИ ВНЕБЮДЖЕТНЫМИ ФОНДАМИ </w:t>
      </w:r>
      <w:proofErr w:type="gramStart"/>
      <w:r>
        <w:t>РОССИЙСКОЙ</w:t>
      </w:r>
      <w:proofErr w:type="gramEnd"/>
    </w:p>
    <w:p w:rsidR="007279BF" w:rsidRDefault="007279BF">
      <w:pPr>
        <w:pStyle w:val="ConsPlusTitle"/>
        <w:jc w:val="center"/>
      </w:pPr>
      <w:r>
        <w:t>ФЕДЕРАЦИИ, ИХ ТЕРРИТОРИАЛЬНЫМИ ОРГАНАМИ И ПОДВЕДОМСТВЕННЫМИ</w:t>
      </w:r>
    </w:p>
    <w:p w:rsidR="007279BF" w:rsidRDefault="007279BF">
      <w:pPr>
        <w:pStyle w:val="ConsPlusTitle"/>
        <w:jc w:val="center"/>
      </w:pPr>
      <w:r>
        <w:t>ИМ КАЗЕННЫМИ И БЮДЖЕТНЫМИ УЧРЕЖДЕНИЯМИ ОТДЕЛЬНЫМ ВИДАМ</w:t>
      </w:r>
    </w:p>
    <w:p w:rsidR="007279BF" w:rsidRDefault="007279BF">
      <w:pPr>
        <w:pStyle w:val="ConsPlusTitle"/>
        <w:jc w:val="center"/>
      </w:pPr>
      <w:proofErr w:type="gramStart"/>
      <w:r>
        <w:t>ТОВАРОВ, РАБОТ, УСЛУГ (В ТОМ ЧИСЛЕ ПРЕДЕЛЬНЫХ ЦЕН</w:t>
      </w:r>
      <w:proofErr w:type="gramEnd"/>
    </w:p>
    <w:p w:rsidR="007279BF" w:rsidRDefault="007279BF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услуг).</w:t>
      </w:r>
      <w:proofErr w:type="gramEnd"/>
    </w:p>
    <w:p w:rsidR="007279BF" w:rsidRDefault="007279BF">
      <w:pPr>
        <w:pStyle w:val="ConsPlusNormal"/>
        <w:ind w:firstLine="540"/>
        <w:jc w:val="both"/>
      </w:pPr>
      <w:r>
        <w:t xml:space="preserve">2. </w:t>
      </w:r>
      <w:proofErr w:type="gramStart"/>
      <w:r>
        <w:t>Федеральные государственные органы и органы управления государственными внебюджетными фондами Российской Федерации утверждают определенные в соответствии с настоящими Правилами требования к закупаемым ими, их территориальными органами и 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</w:t>
      </w:r>
      <w:proofErr w:type="gramEnd"/>
      <w:r>
        <w:t>, работ, услуг) (далее - ведомственный перечень).</w:t>
      </w:r>
    </w:p>
    <w:p w:rsidR="007279BF" w:rsidRDefault="007279BF">
      <w:pPr>
        <w:pStyle w:val="ConsPlusNormal"/>
        <w:ind w:firstLine="540"/>
        <w:jc w:val="both"/>
      </w:pPr>
      <w:r>
        <w:t xml:space="preserve">Ведомственный перечень составляется по форме согласно </w:t>
      </w:r>
      <w:hyperlink w:anchor="P86" w:history="1">
        <w:r>
          <w:rPr>
            <w:color w:val="0000FF"/>
          </w:rPr>
          <w:t>приложению N 1</w:t>
        </w:r>
      </w:hyperlink>
      <w: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w:anchor="P173" w:history="1">
        <w:r>
          <w:rPr>
            <w:color w:val="0000FF"/>
          </w:rPr>
          <w:t>приложением N 2</w:t>
        </w:r>
      </w:hyperlink>
      <w:r>
        <w:t xml:space="preserve"> (далее - обязательный перечень).</w:t>
      </w:r>
    </w:p>
    <w:p w:rsidR="007279BF" w:rsidRDefault="007279BF">
      <w:pPr>
        <w:pStyle w:val="ConsPlusNormal"/>
        <w:ind w:firstLine="540"/>
        <w:jc w:val="both"/>
      </w:pPr>
      <w: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7279BF" w:rsidRDefault="007279BF">
      <w:pPr>
        <w:pStyle w:val="ConsPlusNormal"/>
        <w:ind w:firstLine="540"/>
        <w:jc w:val="both"/>
      </w:pPr>
      <w:proofErr w:type="gramStart"/>
      <w:r>
        <w:t>Федеральные государственные органы и органы управления государственными внебюджетными фондами Российской Федерации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  <w:proofErr w:type="gramEnd"/>
    </w:p>
    <w:p w:rsidR="007279BF" w:rsidRDefault="007279BF">
      <w:pPr>
        <w:pStyle w:val="ConsPlusNormal"/>
        <w:ind w:firstLine="540"/>
        <w:jc w:val="both"/>
      </w:pPr>
      <w:bookmarkStart w:id="4" w:name="P51"/>
      <w:bookmarkEnd w:id="4"/>
      <w: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7279BF" w:rsidRDefault="007279BF">
      <w:pPr>
        <w:pStyle w:val="ConsPlusNormal"/>
        <w:ind w:firstLine="540"/>
        <w:jc w:val="both"/>
      </w:pPr>
      <w:r>
        <w:t>а) доля расходов федерального государственного органа, органа управления государственными внебюджетными фондами Российской Федерации, их территориальных органов и подведомственных им казенных и бюджетных учреждений на приобретение отдельного вида товаров, работ, услуг для обеспечения федеральных нужд за отчетный финансовый год в общем объеме расходов этого федерального государственного органа, органа управления государственными внебюджетными фондами Российской Федерации и их территориальных органов и подведомственных им казенных и бюджетных учреждений на приобретение товаров, работ, услуг за отчетный финансовый год;</w:t>
      </w:r>
    </w:p>
    <w:p w:rsidR="007279BF" w:rsidRDefault="007279BF">
      <w:pPr>
        <w:pStyle w:val="ConsPlusNormal"/>
        <w:ind w:firstLine="540"/>
        <w:jc w:val="both"/>
      </w:pPr>
      <w:proofErr w:type="gramStart"/>
      <w:r>
        <w:t>б) доля контрактов федерального государственного органа, органа управления государственными внебюджетными фондами Российской Федерации, их территориальных органов и подведомственных им казенных и бюджетных учреждений на приобретение отдельного вида товаров, работ, услуг для обеспечения федеральных нужд, заключенных в отчетном финансовом году, в общем количестве контрактов этого федерального государственного органа, органа управления государственными внебюджетными фондами Российской Федерации и их территориальных органов и подведомственных</w:t>
      </w:r>
      <w:proofErr w:type="gramEnd"/>
      <w:r>
        <w:t xml:space="preserve"> им казенных и бюджетных учреждений на приобретение товаров, работ, услуг, заключенных в отчетном финансовом году.</w:t>
      </w:r>
    </w:p>
    <w:p w:rsidR="007279BF" w:rsidRDefault="007279BF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Федеральные государственные органы и органы управления государственными </w:t>
      </w:r>
      <w:r>
        <w:lastRenderedPageBreak/>
        <w:t xml:space="preserve">внебюджетными фондами Российской Федерации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>
          <w:rPr>
            <w:color w:val="0000FF"/>
          </w:rPr>
          <w:t>пунктом 3</w:t>
        </w:r>
      </w:hyperlink>
      <w:r>
        <w:t xml:space="preserve"> настоящих Правил критерии исходя из определения их значений в процентном отношении к объему осуществляемых федеральными государственными органами, органами управления государственными внебюджетными фондами Российской Федерации и их территориальными органами и подведомственными</w:t>
      </w:r>
      <w:proofErr w:type="gramEnd"/>
      <w:r>
        <w:t xml:space="preserve"> им казенными и бюджетными учреждениями закупок.</w:t>
      </w:r>
    </w:p>
    <w:p w:rsidR="007279BF" w:rsidRDefault="007279BF">
      <w:pPr>
        <w:pStyle w:val="ConsPlusNormal"/>
        <w:ind w:firstLine="540"/>
        <w:jc w:val="both"/>
      </w:pPr>
      <w:r>
        <w:t xml:space="preserve">5. В целях формирования ведомственного перечня федеральные государственные органы и органы управления государственными внебюджетными фондами Российской Федерации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>
          <w:rPr>
            <w:color w:val="0000FF"/>
          </w:rPr>
          <w:t>пунктом 3</w:t>
        </w:r>
      </w:hyperlink>
      <w:r>
        <w:t xml:space="preserve"> настоящих Правил.</w:t>
      </w:r>
    </w:p>
    <w:p w:rsidR="007279BF" w:rsidRDefault="007279BF">
      <w:pPr>
        <w:pStyle w:val="ConsPlusNormal"/>
        <w:ind w:firstLine="540"/>
        <w:jc w:val="both"/>
      </w:pPr>
      <w:r>
        <w:t>6. Федеральные государственные органы и органы управления государственными внебюджетными фондами Российской Федерации при формировании ведомственного перечня вправе включить в него дополнительно:</w:t>
      </w:r>
    </w:p>
    <w:p w:rsidR="007279BF" w:rsidRDefault="007279BF">
      <w:pPr>
        <w:pStyle w:val="ConsPlusNormal"/>
        <w:ind w:firstLine="540"/>
        <w:jc w:val="both"/>
      </w:pPr>
      <w: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7279BF" w:rsidRDefault="007279BF">
      <w:pPr>
        <w:pStyle w:val="ConsPlusNormal"/>
        <w:ind w:firstLine="540"/>
        <w:jc w:val="both"/>
      </w:pPr>
      <w: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7279BF" w:rsidRDefault="007279BF">
      <w:pPr>
        <w:pStyle w:val="ConsPlusNormal"/>
        <w:ind w:firstLine="540"/>
        <w:jc w:val="both"/>
      </w:pPr>
      <w:proofErr w:type="gramStart"/>
      <w: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w:anchor="P86" w:history="1">
        <w:r>
          <w:rPr>
            <w:color w:val="0000FF"/>
          </w:rPr>
          <w:t>приложения N 1</w:t>
        </w:r>
      </w:hyperlink>
      <w: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>
        <w:t xml:space="preserve">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7279BF" w:rsidRDefault="007279BF">
      <w:pPr>
        <w:pStyle w:val="ConsPlusNormal"/>
        <w:ind w:firstLine="540"/>
        <w:jc w:val="both"/>
      </w:pPr>
      <w: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7279BF" w:rsidRDefault="007279BF">
      <w:pPr>
        <w:pStyle w:val="ConsPlusNormal"/>
        <w:ind w:firstLine="540"/>
        <w:jc w:val="both"/>
      </w:pPr>
      <w:proofErr w:type="gramStart"/>
      <w:r>
        <w:t xml:space="preserve">а) с учетом категорий и (или) групп должностей работников федеральных государственных органов, органов управления государственными внебюджетными фондами Российской Федерации и их территориальных органов и подведомственных им казенных и бюджетных учреждений, если затраты на их приобретение в соответствии с </w:t>
      </w:r>
      <w:hyperlink r:id="rId7" w:history="1">
        <w:r>
          <w:rPr>
            <w:color w:val="0000FF"/>
          </w:rPr>
          <w:t>требованиями</w:t>
        </w:r>
      </w:hyperlink>
      <w:r>
        <w:t xml:space="preserve"> к определению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</w:t>
      </w:r>
      <w:proofErr w:type="gramEnd"/>
      <w:r>
        <w:t xml:space="preserve"> </w:t>
      </w:r>
      <w:proofErr w:type="gramStart"/>
      <w:r>
        <w:t>им казенных учреждений, утвержденными постановлением Правительства Российской Федерации от 20 октября 2014 г.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учреждений" (далее - требования к определению нормативных затрат), определяются с учетом категорий и (или) групп должностей работников;</w:t>
      </w:r>
      <w:proofErr w:type="gramEnd"/>
    </w:p>
    <w:p w:rsidR="007279BF" w:rsidRDefault="007279BF">
      <w:pPr>
        <w:pStyle w:val="ConsPlusNormal"/>
        <w:ind w:firstLine="540"/>
        <w:jc w:val="both"/>
      </w:pPr>
      <w:r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федеральным государственным органом, органом управления государственным внебюджетным фондом Российской Федерации.</w:t>
      </w:r>
    </w:p>
    <w:p w:rsidR="007279BF" w:rsidRDefault="007279BF">
      <w:pPr>
        <w:pStyle w:val="ConsPlusNormal"/>
        <w:ind w:firstLine="540"/>
        <w:jc w:val="both"/>
      </w:pPr>
      <w: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деятельности.</w:t>
      </w:r>
    </w:p>
    <w:p w:rsidR="007279BF" w:rsidRDefault="007279BF">
      <w:pPr>
        <w:pStyle w:val="ConsPlusNormal"/>
        <w:ind w:firstLine="540"/>
        <w:jc w:val="both"/>
      </w:pPr>
      <w:r>
        <w:t>9. Предельные цены товаров, работ, услуг устанавливаются федеральными государственными органами и органами управления государственными внебюджетными фондами Российской Федерации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right"/>
      </w:pPr>
      <w:r>
        <w:t>Приложение N 1</w:t>
      </w:r>
    </w:p>
    <w:p w:rsidR="007279BF" w:rsidRDefault="007279BF">
      <w:pPr>
        <w:pStyle w:val="ConsPlusNormal"/>
        <w:jc w:val="right"/>
      </w:pPr>
      <w:r>
        <w:t>к Правилам определения</w:t>
      </w:r>
    </w:p>
    <w:p w:rsidR="007279BF" w:rsidRDefault="007279BF">
      <w:pPr>
        <w:pStyle w:val="ConsPlusNormal"/>
        <w:jc w:val="right"/>
      </w:pPr>
      <w:r>
        <w:t xml:space="preserve">требований к </w:t>
      </w:r>
      <w:proofErr w:type="gramStart"/>
      <w:r>
        <w:t>закупаемым</w:t>
      </w:r>
      <w:proofErr w:type="gramEnd"/>
    </w:p>
    <w:p w:rsidR="007279BF" w:rsidRDefault="007279BF">
      <w:pPr>
        <w:pStyle w:val="ConsPlusNormal"/>
        <w:jc w:val="right"/>
      </w:pPr>
      <w:r>
        <w:t>федеральными государственными</w:t>
      </w:r>
    </w:p>
    <w:p w:rsidR="007279BF" w:rsidRDefault="007279BF">
      <w:pPr>
        <w:pStyle w:val="ConsPlusNormal"/>
        <w:jc w:val="right"/>
      </w:pPr>
      <w:r>
        <w:t>органами, органами управления</w:t>
      </w:r>
    </w:p>
    <w:p w:rsidR="007279BF" w:rsidRDefault="007279BF">
      <w:pPr>
        <w:pStyle w:val="ConsPlusNormal"/>
        <w:jc w:val="right"/>
      </w:pPr>
      <w:r>
        <w:t>государственными внебюджетными</w:t>
      </w:r>
    </w:p>
    <w:p w:rsidR="007279BF" w:rsidRDefault="007279BF">
      <w:pPr>
        <w:pStyle w:val="ConsPlusNormal"/>
        <w:jc w:val="right"/>
      </w:pPr>
      <w:r>
        <w:t>фондами Российской Федерации,</w:t>
      </w:r>
    </w:p>
    <w:p w:rsidR="007279BF" w:rsidRDefault="007279BF">
      <w:pPr>
        <w:pStyle w:val="ConsPlusNormal"/>
        <w:jc w:val="right"/>
      </w:pPr>
      <w:r>
        <w:t>их территориальными органами</w:t>
      </w:r>
    </w:p>
    <w:p w:rsidR="007279BF" w:rsidRDefault="007279BF">
      <w:pPr>
        <w:pStyle w:val="ConsPlusNormal"/>
        <w:jc w:val="right"/>
      </w:pPr>
      <w:r>
        <w:t xml:space="preserve">и </w:t>
      </w:r>
      <w:proofErr w:type="gramStart"/>
      <w:r>
        <w:t>подведомственными</w:t>
      </w:r>
      <w:proofErr w:type="gramEnd"/>
      <w:r>
        <w:t xml:space="preserve"> им казенными</w:t>
      </w:r>
    </w:p>
    <w:p w:rsidR="007279BF" w:rsidRDefault="007279BF">
      <w:pPr>
        <w:pStyle w:val="ConsPlusNormal"/>
        <w:jc w:val="right"/>
      </w:pPr>
      <w:r>
        <w:t xml:space="preserve">и бюджетными учреждениями </w:t>
      </w:r>
      <w:proofErr w:type="gramStart"/>
      <w:r>
        <w:t>отдельным</w:t>
      </w:r>
      <w:proofErr w:type="gramEnd"/>
    </w:p>
    <w:p w:rsidR="007279BF" w:rsidRDefault="007279BF">
      <w:pPr>
        <w:pStyle w:val="ConsPlusNormal"/>
        <w:jc w:val="right"/>
      </w:pPr>
      <w:r>
        <w:t>видам товаров, работ, услуг</w:t>
      </w:r>
    </w:p>
    <w:p w:rsidR="007279BF" w:rsidRDefault="007279BF">
      <w:pPr>
        <w:pStyle w:val="ConsPlusNormal"/>
        <w:jc w:val="right"/>
      </w:pPr>
      <w:proofErr w:type="gramStart"/>
      <w:r>
        <w:t>(в том числе предельных цен</w:t>
      </w:r>
      <w:proofErr w:type="gramEnd"/>
    </w:p>
    <w:p w:rsidR="007279BF" w:rsidRDefault="007279BF">
      <w:pPr>
        <w:pStyle w:val="ConsPlusNormal"/>
        <w:jc w:val="right"/>
      </w:pPr>
      <w:r>
        <w:t>товаров, работ, услуг)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right"/>
      </w:pPr>
      <w:r>
        <w:t>(форма)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center"/>
      </w:pPr>
      <w:bookmarkStart w:id="5" w:name="P86"/>
      <w:bookmarkEnd w:id="5"/>
      <w:r>
        <w:t>ПЕРЕЧЕНЬ</w:t>
      </w:r>
    </w:p>
    <w:p w:rsidR="007279BF" w:rsidRDefault="007279BF">
      <w:pPr>
        <w:pStyle w:val="ConsPlusNormal"/>
        <w:jc w:val="center"/>
      </w:pPr>
      <w:r>
        <w:t>отдельных видов товаров, работ, услуг, их потребительские</w:t>
      </w:r>
    </w:p>
    <w:p w:rsidR="007279BF" w:rsidRDefault="007279BF">
      <w:pPr>
        <w:pStyle w:val="ConsPlusNormal"/>
        <w:jc w:val="center"/>
      </w:pPr>
      <w:r>
        <w:t>свойства (в том числе качество) и иные характеристики</w:t>
      </w:r>
    </w:p>
    <w:p w:rsidR="007279BF" w:rsidRDefault="007279BF">
      <w:pPr>
        <w:pStyle w:val="ConsPlusNormal"/>
        <w:jc w:val="center"/>
      </w:pPr>
      <w:r>
        <w:t>(в том числе предельные цены товаров, работ, услуг) к ним</w:t>
      </w:r>
    </w:p>
    <w:p w:rsidR="007279BF" w:rsidRDefault="007279BF">
      <w:pPr>
        <w:sectPr w:rsidR="007279BF" w:rsidSect="00686A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79BF" w:rsidRDefault="007279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36"/>
        <w:gridCol w:w="1584"/>
        <w:gridCol w:w="802"/>
        <w:gridCol w:w="925"/>
        <w:gridCol w:w="942"/>
        <w:gridCol w:w="1093"/>
        <w:gridCol w:w="954"/>
        <w:gridCol w:w="1136"/>
        <w:gridCol w:w="1832"/>
        <w:gridCol w:w="1071"/>
      </w:tblGrid>
      <w:tr w:rsidR="007279BF">
        <w:tc>
          <w:tcPr>
            <w:tcW w:w="480" w:type="dxa"/>
            <w:vMerge w:val="restart"/>
          </w:tcPr>
          <w:p w:rsidR="007279BF" w:rsidRDefault="007279B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6" w:type="dxa"/>
            <w:vMerge w:val="restart"/>
          </w:tcPr>
          <w:p w:rsidR="007279BF" w:rsidRDefault="007279BF">
            <w:pPr>
              <w:pStyle w:val="ConsPlusNormal"/>
              <w:jc w:val="center"/>
            </w:pPr>
            <w:r>
              <w:t xml:space="preserve">Код по </w:t>
            </w:r>
            <w:hyperlink r:id="rId9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1584" w:type="dxa"/>
            <w:vMerge w:val="restart"/>
          </w:tcPr>
          <w:p w:rsidR="007279BF" w:rsidRDefault="007279BF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727" w:type="dxa"/>
            <w:gridSpan w:val="2"/>
          </w:tcPr>
          <w:p w:rsidR="007279BF" w:rsidRDefault="007279B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35" w:type="dxa"/>
            <w:gridSpan w:val="2"/>
          </w:tcPr>
          <w:p w:rsidR="007279BF" w:rsidRDefault="007279BF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Российской Федерации</w:t>
            </w:r>
          </w:p>
        </w:tc>
        <w:tc>
          <w:tcPr>
            <w:tcW w:w="4993" w:type="dxa"/>
            <w:gridSpan w:val="4"/>
          </w:tcPr>
          <w:p w:rsidR="007279BF" w:rsidRDefault="007279BF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федеральным государственным органом, органом управления государственным внебюджетным фондом Российской Федерации</w:t>
            </w:r>
          </w:p>
        </w:tc>
      </w:tr>
      <w:tr w:rsidR="007279BF">
        <w:tc>
          <w:tcPr>
            <w:tcW w:w="480" w:type="dxa"/>
            <w:vMerge/>
          </w:tcPr>
          <w:p w:rsidR="007279BF" w:rsidRDefault="007279BF"/>
        </w:tc>
        <w:tc>
          <w:tcPr>
            <w:tcW w:w="836" w:type="dxa"/>
            <w:vMerge/>
          </w:tcPr>
          <w:p w:rsidR="007279BF" w:rsidRDefault="007279BF"/>
        </w:tc>
        <w:tc>
          <w:tcPr>
            <w:tcW w:w="1584" w:type="dxa"/>
            <w:vMerge/>
          </w:tcPr>
          <w:p w:rsidR="007279BF" w:rsidRDefault="007279BF"/>
        </w:tc>
        <w:tc>
          <w:tcPr>
            <w:tcW w:w="802" w:type="dxa"/>
          </w:tcPr>
          <w:p w:rsidR="007279BF" w:rsidRDefault="007279BF">
            <w:pPr>
              <w:pStyle w:val="ConsPlusNormal"/>
              <w:jc w:val="center"/>
            </w:pPr>
            <w:r>
              <w:t xml:space="preserve">код по </w:t>
            </w:r>
            <w:hyperlink r:id="rId10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25" w:type="dxa"/>
          </w:tcPr>
          <w:p w:rsidR="007279BF" w:rsidRDefault="007279B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42" w:type="dxa"/>
          </w:tcPr>
          <w:p w:rsidR="007279BF" w:rsidRDefault="007279BF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093" w:type="dxa"/>
          </w:tcPr>
          <w:p w:rsidR="007279BF" w:rsidRDefault="007279BF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954" w:type="dxa"/>
          </w:tcPr>
          <w:p w:rsidR="007279BF" w:rsidRDefault="007279BF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136" w:type="dxa"/>
          </w:tcPr>
          <w:p w:rsidR="007279BF" w:rsidRDefault="007279BF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1832" w:type="dxa"/>
          </w:tcPr>
          <w:p w:rsidR="007279BF" w:rsidRDefault="007279BF">
            <w:pPr>
              <w:pStyle w:val="ConsPlusNormal"/>
              <w:jc w:val="center"/>
            </w:pPr>
            <w: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071" w:type="dxa"/>
          </w:tcPr>
          <w:p w:rsidR="007279BF" w:rsidRDefault="007279BF">
            <w:pPr>
              <w:pStyle w:val="ConsPlusNormal"/>
              <w:jc w:val="center"/>
            </w:pPr>
            <w:r>
              <w:t xml:space="preserve">функциональное назначение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79BF">
        <w:tc>
          <w:tcPr>
            <w:tcW w:w="11655" w:type="dxa"/>
            <w:gridSpan w:val="11"/>
          </w:tcPr>
          <w:p w:rsidR="007279BF" w:rsidRDefault="007279BF">
            <w:pPr>
              <w:pStyle w:val="ConsPlusNormal"/>
              <w:jc w:val="center"/>
            </w:pPr>
            <w:proofErr w:type="gramStart"/>
            <w: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Правилам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постановлением Правительства Российской</w:t>
            </w:r>
            <w:proofErr w:type="gramEnd"/>
            <w:r>
              <w:t xml:space="preserve"> Федерации от 2 сентября 2015 г. N 927</w:t>
            </w:r>
          </w:p>
        </w:tc>
      </w:tr>
      <w:tr w:rsidR="007279BF">
        <w:tc>
          <w:tcPr>
            <w:tcW w:w="480" w:type="dxa"/>
          </w:tcPr>
          <w:p w:rsidR="007279BF" w:rsidRDefault="007279B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58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802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25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42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093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5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1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832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071" w:type="dxa"/>
          </w:tcPr>
          <w:p w:rsidR="007279BF" w:rsidRDefault="007279BF">
            <w:pPr>
              <w:pStyle w:val="ConsPlusNormal"/>
            </w:pPr>
          </w:p>
        </w:tc>
      </w:tr>
      <w:tr w:rsidR="007279BF">
        <w:tc>
          <w:tcPr>
            <w:tcW w:w="11655" w:type="dxa"/>
            <w:gridSpan w:val="11"/>
          </w:tcPr>
          <w:p w:rsidR="007279BF" w:rsidRDefault="007279BF">
            <w:pPr>
              <w:pStyle w:val="ConsPlusNormal"/>
              <w:jc w:val="center"/>
            </w:pPr>
            <w:r>
              <w:t>Дополнительный перечень отдельных видов товаров, работ, услуг, определенный федеральным государственным органом, органом управления государственным внебюджетным фондом Российской Федерации</w:t>
            </w:r>
          </w:p>
        </w:tc>
      </w:tr>
      <w:tr w:rsidR="007279BF">
        <w:tc>
          <w:tcPr>
            <w:tcW w:w="480" w:type="dxa"/>
          </w:tcPr>
          <w:p w:rsidR="007279BF" w:rsidRDefault="007279B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58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802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25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42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1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832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1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</w:tr>
      <w:tr w:rsidR="007279BF">
        <w:tc>
          <w:tcPr>
            <w:tcW w:w="480" w:type="dxa"/>
          </w:tcPr>
          <w:p w:rsidR="007279BF" w:rsidRDefault="007279BF">
            <w:pPr>
              <w:pStyle w:val="ConsPlusNormal"/>
            </w:pPr>
          </w:p>
        </w:tc>
        <w:tc>
          <w:tcPr>
            <w:tcW w:w="8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58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802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25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42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1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832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1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</w:tr>
      <w:tr w:rsidR="007279BF">
        <w:tc>
          <w:tcPr>
            <w:tcW w:w="480" w:type="dxa"/>
          </w:tcPr>
          <w:p w:rsidR="007279BF" w:rsidRDefault="007279BF">
            <w:pPr>
              <w:pStyle w:val="ConsPlusNormal"/>
            </w:pPr>
          </w:p>
        </w:tc>
        <w:tc>
          <w:tcPr>
            <w:tcW w:w="8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58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802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25" w:type="dxa"/>
          </w:tcPr>
          <w:p w:rsidR="007279BF" w:rsidRDefault="007279BF">
            <w:pPr>
              <w:pStyle w:val="ConsPlusNormal"/>
            </w:pPr>
          </w:p>
        </w:tc>
        <w:tc>
          <w:tcPr>
            <w:tcW w:w="942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93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136" w:type="dxa"/>
          </w:tcPr>
          <w:p w:rsidR="007279BF" w:rsidRDefault="007279BF">
            <w:pPr>
              <w:pStyle w:val="ConsPlusNormal"/>
            </w:pPr>
          </w:p>
        </w:tc>
        <w:tc>
          <w:tcPr>
            <w:tcW w:w="1832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1" w:type="dxa"/>
          </w:tcPr>
          <w:p w:rsidR="007279BF" w:rsidRDefault="007279BF">
            <w:pPr>
              <w:pStyle w:val="ConsPlusNormal"/>
              <w:jc w:val="center"/>
            </w:pPr>
            <w:r>
              <w:t>x</w:t>
            </w:r>
          </w:p>
        </w:tc>
      </w:tr>
    </w:tbl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ind w:firstLine="540"/>
        <w:jc w:val="both"/>
      </w:pPr>
      <w:r>
        <w:t>--------------------------------</w:t>
      </w:r>
    </w:p>
    <w:p w:rsidR="007279BF" w:rsidRDefault="007279BF">
      <w:pPr>
        <w:pStyle w:val="ConsPlusNormal"/>
        <w:ind w:firstLine="540"/>
        <w:jc w:val="both"/>
      </w:pPr>
      <w:bookmarkStart w:id="6" w:name="P153"/>
      <w:bookmarkEnd w:id="6"/>
      <w: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right"/>
      </w:pPr>
      <w:r>
        <w:t>Приложение N 2</w:t>
      </w:r>
    </w:p>
    <w:p w:rsidR="007279BF" w:rsidRDefault="007279BF">
      <w:pPr>
        <w:pStyle w:val="ConsPlusNormal"/>
        <w:jc w:val="right"/>
      </w:pPr>
      <w:r>
        <w:t>к Правилам определения</w:t>
      </w:r>
    </w:p>
    <w:p w:rsidR="007279BF" w:rsidRDefault="007279BF">
      <w:pPr>
        <w:pStyle w:val="ConsPlusNormal"/>
        <w:jc w:val="right"/>
      </w:pPr>
      <w:r>
        <w:t xml:space="preserve">требований к </w:t>
      </w:r>
      <w:proofErr w:type="gramStart"/>
      <w:r>
        <w:t>закупаемым</w:t>
      </w:r>
      <w:proofErr w:type="gramEnd"/>
    </w:p>
    <w:p w:rsidR="007279BF" w:rsidRDefault="007279BF">
      <w:pPr>
        <w:pStyle w:val="ConsPlusNormal"/>
        <w:jc w:val="right"/>
      </w:pPr>
      <w:r>
        <w:t>федеральными государственными</w:t>
      </w:r>
    </w:p>
    <w:p w:rsidR="007279BF" w:rsidRDefault="007279BF">
      <w:pPr>
        <w:pStyle w:val="ConsPlusNormal"/>
        <w:jc w:val="right"/>
      </w:pPr>
      <w:r>
        <w:t>органами, органами управления</w:t>
      </w:r>
    </w:p>
    <w:p w:rsidR="007279BF" w:rsidRDefault="007279BF">
      <w:pPr>
        <w:pStyle w:val="ConsPlusNormal"/>
        <w:jc w:val="right"/>
      </w:pPr>
      <w:r>
        <w:t>государственными внебюджетными</w:t>
      </w:r>
    </w:p>
    <w:p w:rsidR="007279BF" w:rsidRDefault="007279BF">
      <w:pPr>
        <w:pStyle w:val="ConsPlusNormal"/>
        <w:jc w:val="right"/>
      </w:pPr>
      <w:r>
        <w:t>фондами Российской Федерации,</w:t>
      </w:r>
    </w:p>
    <w:p w:rsidR="007279BF" w:rsidRDefault="007279BF">
      <w:pPr>
        <w:pStyle w:val="ConsPlusNormal"/>
        <w:jc w:val="right"/>
      </w:pPr>
      <w:r>
        <w:t>их территориальными органами</w:t>
      </w:r>
    </w:p>
    <w:p w:rsidR="007279BF" w:rsidRDefault="007279BF">
      <w:pPr>
        <w:pStyle w:val="ConsPlusNormal"/>
        <w:jc w:val="right"/>
      </w:pPr>
      <w:r>
        <w:t xml:space="preserve">и </w:t>
      </w:r>
      <w:proofErr w:type="gramStart"/>
      <w:r>
        <w:t>подведомственными</w:t>
      </w:r>
      <w:proofErr w:type="gramEnd"/>
      <w:r>
        <w:t xml:space="preserve"> им казенными</w:t>
      </w:r>
    </w:p>
    <w:p w:rsidR="007279BF" w:rsidRDefault="007279BF">
      <w:pPr>
        <w:pStyle w:val="ConsPlusNormal"/>
        <w:jc w:val="right"/>
      </w:pPr>
      <w:r>
        <w:t xml:space="preserve">и бюджетными учреждениями </w:t>
      </w:r>
      <w:proofErr w:type="gramStart"/>
      <w:r>
        <w:t>отдельным</w:t>
      </w:r>
      <w:proofErr w:type="gramEnd"/>
    </w:p>
    <w:p w:rsidR="007279BF" w:rsidRDefault="007279BF">
      <w:pPr>
        <w:pStyle w:val="ConsPlusNormal"/>
        <w:jc w:val="right"/>
      </w:pPr>
      <w:r>
        <w:t>видам товаров, работ, услуг</w:t>
      </w:r>
    </w:p>
    <w:p w:rsidR="007279BF" w:rsidRDefault="007279BF">
      <w:pPr>
        <w:pStyle w:val="ConsPlusNormal"/>
        <w:jc w:val="right"/>
      </w:pPr>
      <w:proofErr w:type="gramStart"/>
      <w:r>
        <w:t>(в том числе предельных цен</w:t>
      </w:r>
      <w:proofErr w:type="gramEnd"/>
    </w:p>
    <w:p w:rsidR="007279BF" w:rsidRDefault="007279BF">
      <w:pPr>
        <w:pStyle w:val="ConsPlusNormal"/>
        <w:jc w:val="right"/>
      </w:pPr>
      <w:r>
        <w:t>товаров, работ, услуг)</w:t>
      </w: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center"/>
      </w:pPr>
      <w:bookmarkStart w:id="7" w:name="P173"/>
      <w:bookmarkEnd w:id="7"/>
      <w:r>
        <w:t>ОБЯЗАТЕЛЬНЫЙ ПЕРЕЧЕНЬ</w:t>
      </w:r>
    </w:p>
    <w:p w:rsidR="007279BF" w:rsidRDefault="007279BF">
      <w:pPr>
        <w:pStyle w:val="ConsPlusNormal"/>
        <w:jc w:val="center"/>
      </w:pPr>
      <w:r>
        <w:t>ОТДЕЛЬНЫХ ВИДОВ ТОВАРОВ, РАБОТ, УСЛУГ, В ОТНОШЕНИИ КОТОРЫХ</w:t>
      </w:r>
    </w:p>
    <w:p w:rsidR="007279BF" w:rsidRDefault="007279BF">
      <w:pPr>
        <w:pStyle w:val="ConsPlusNormal"/>
        <w:jc w:val="center"/>
      </w:pPr>
      <w:r>
        <w:t>ОПРЕДЕЛЯЮТСЯ ТРЕБОВАНИЯ К ПОТРЕБИТЕЛЬСКИМ СВОЙСТВАМ</w:t>
      </w:r>
    </w:p>
    <w:p w:rsidR="007279BF" w:rsidRDefault="007279BF">
      <w:pPr>
        <w:pStyle w:val="ConsPlusNormal"/>
        <w:jc w:val="center"/>
      </w:pPr>
      <w:r>
        <w:t>(В ТОМ ЧИСЛЕ КАЧЕСТВУ) И ИНЫМ ХАРАКТЕРИСТИКАМ</w:t>
      </w:r>
    </w:p>
    <w:p w:rsidR="007279BF" w:rsidRDefault="007279BF">
      <w:pPr>
        <w:pStyle w:val="ConsPlusNormal"/>
        <w:jc w:val="center"/>
      </w:pPr>
      <w:r>
        <w:t>(В ТОМ ЧИСЛЕ ПРЕДЕЛЬНЫЕ ЦЕНЫ ТОВАРОВ, РАБОТ, УСЛУГ)</w:t>
      </w:r>
    </w:p>
    <w:p w:rsidR="007279BF" w:rsidRDefault="007279B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2098"/>
        <w:gridCol w:w="2324"/>
        <w:gridCol w:w="771"/>
        <w:gridCol w:w="1191"/>
        <w:gridCol w:w="1710"/>
        <w:gridCol w:w="1757"/>
        <w:gridCol w:w="1757"/>
        <w:gridCol w:w="1688"/>
        <w:gridCol w:w="1374"/>
        <w:gridCol w:w="1374"/>
        <w:gridCol w:w="1374"/>
        <w:gridCol w:w="1517"/>
        <w:gridCol w:w="1374"/>
        <w:gridCol w:w="1374"/>
        <w:gridCol w:w="1374"/>
        <w:gridCol w:w="1374"/>
      </w:tblGrid>
      <w:tr w:rsidR="007279BF"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 xml:space="preserve">Код по </w:t>
            </w:r>
            <w:hyperlink r:id="rId11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22333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279BF"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9BF" w:rsidRDefault="007279B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047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значение характеристики</w:t>
            </w:r>
          </w:p>
        </w:tc>
      </w:tr>
      <w:tr w:rsidR="007279BF"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9BF" w:rsidRDefault="007279B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7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 xml:space="preserve">код по </w:t>
            </w:r>
            <w:hyperlink r:id="rId12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0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центральный аппарат</w:t>
            </w:r>
          </w:p>
        </w:tc>
        <w:tc>
          <w:tcPr>
            <w:tcW w:w="7013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территориальный орган</w:t>
            </w:r>
          </w:p>
        </w:tc>
      </w:tr>
      <w:tr w:rsidR="007279BF"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9BF" w:rsidRDefault="007279B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69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должности категории "руководители"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должности категории "помощники (советники)"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должности категории "специалисты"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должности категории "обеспечивающие специалисты"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главная группа должностей гражданской службы категории "руководители"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ведущая группа должностей гражданской службы категории "руководители"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должности категории "помощники (советники)"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должности категории "специалисты"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должности категории "обеспечивающие специалисты"</w:t>
            </w:r>
          </w:p>
        </w:tc>
      </w:tr>
      <w:tr w:rsidR="007279BF"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279BF" w:rsidRDefault="007279B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7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руководитель или заместитель руководителя федерального государственного органа (за исключением должности руководителя федерального агентства, заместителя руководителя федеральной службы и заместителя руководителя федерального агентства)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руководитель или заместитель руководителя федерального государственного органа (в федеральном агентстве), заместитель руководителя федерального государственного агентства (в федеральной службе или в федеральном агентстве)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руководитель (заместитель руководителя) структурного подразделения федерального государственного органа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>
            <w:pPr>
              <w:pStyle w:val="ConsPlusNormal"/>
              <w:jc w:val="center"/>
            </w:pPr>
            <w:r>
              <w:t>иные должности</w:t>
            </w:r>
          </w:p>
        </w:tc>
        <w:tc>
          <w:tcPr>
            <w:tcW w:w="13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3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3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5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3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3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3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279BF" w:rsidRDefault="007279BF"/>
        </w:tc>
        <w:tc>
          <w:tcPr>
            <w:tcW w:w="1374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279BF" w:rsidRDefault="007279BF"/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30.02.12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 xml:space="preserve">Машины вычислительные электронные цифровые портативные массой не более 10 кг для </w:t>
            </w:r>
            <w:r>
              <w:lastRenderedPageBreak/>
              <w:t>автоматической обработки данных ("лэптопы", "ноутбуки", "сабноутбуки"). Пояснения по требуемой продукции: ноутбуки, планшетные компьютеры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</w:t>
            </w:r>
            <w:r>
              <w:lastRenderedPageBreak/>
              <w:t>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30.02.15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вывода.</w:t>
            </w:r>
          </w:p>
          <w:p w:rsidR="007279BF" w:rsidRDefault="007279BF">
            <w:pPr>
              <w:pStyle w:val="ConsPlusNormal"/>
            </w:pPr>
            <w:r>
              <w:t>Пояснения по требуемой продукции:</w:t>
            </w:r>
          </w:p>
          <w:p w:rsidR="007279BF" w:rsidRDefault="007279BF">
            <w:pPr>
              <w:pStyle w:val="ConsPlusNormal"/>
            </w:pPr>
            <w:r>
              <w:t xml:space="preserve">компьютеры </w:t>
            </w:r>
            <w:r>
              <w:lastRenderedPageBreak/>
              <w:t>персональные настольные, рабочие станции вывода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proofErr w:type="gramStart"/>
            <w:r>
              <w:lastRenderedPageBreak/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30.02.16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Устройства ввода/вывода данных, содержащие или не содержащие в одном корпусе запоминающие устройства.</w:t>
            </w:r>
          </w:p>
          <w:p w:rsidR="007279BF" w:rsidRDefault="007279BF">
            <w:pPr>
              <w:pStyle w:val="ConsPlusNormal"/>
            </w:pPr>
            <w: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32.20.11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proofErr w:type="gramStart"/>
            <w:r>
              <w:t>Аппаратура</w:t>
            </w:r>
            <w:proofErr w:type="gramEnd"/>
            <w:r>
              <w:t xml:space="preserve"> передающая для радиосвязи, радиовещания и телевидения.</w:t>
            </w:r>
          </w:p>
          <w:p w:rsidR="007279BF" w:rsidRDefault="007279BF">
            <w:pPr>
              <w:pStyle w:val="ConsPlusNormal"/>
            </w:pPr>
            <w:r>
              <w:t xml:space="preserve">Пояснения по </w:t>
            </w:r>
            <w:r>
              <w:lastRenderedPageBreak/>
              <w:t>требуемой продукции: телефоны мобильные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lastRenderedPageBreak/>
              <w:t xml:space="preserve">тип устройства (телефон/смартфон), поддерживаемые стандарты, операционная система, время </w:t>
            </w:r>
            <w:r>
              <w:lastRenderedPageBreak/>
              <w:t>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383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t>не более 15 тыс.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t>не более 10 тыс.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t>не более 5 тыс.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t>не более 10 тыс.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t>не более 7 тыс.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  <w:jc w:val="center"/>
            </w:pPr>
            <w:r>
              <w:t>не более 5 тыс.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34.10.22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both"/>
            </w:pPr>
            <w:r>
              <w:t>мощность двигателя, комплектация, предельная цена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/>
        </w:tc>
        <w:tc>
          <w:tcPr>
            <w:tcW w:w="11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/>
        </w:tc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/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не более 2 млн.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34.10.30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Средства автотранспортные для перевозки 10 человек и более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мощность двигателя, комплектация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34.10.41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 xml:space="preserve">Средства автотранспортные </w:t>
            </w:r>
            <w:r>
              <w:lastRenderedPageBreak/>
              <w:t>грузовые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lastRenderedPageBreak/>
              <w:t>мощность двигателя, комплектация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36.11.11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Мебель для сидения с металлическим каркасом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материал (металл), обивочные материалы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нетканые материалы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нетканые материалы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нетканые материалы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нетканые материалы</w:t>
            </w: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36.11.12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Мебель для сидения с деревянным каркасом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материал (вид древесины)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массив древесины "ценных" пород (твердолиственных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lastRenderedPageBreak/>
              <w:t>береза, лиственница, сосна, 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предельное значение - массив древесины "ценных" пород (твердолиственных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 xml:space="preserve">возможные значения: древесина хвойных и мягколиственных пород: береза, </w:t>
            </w:r>
            <w:r>
              <w:lastRenderedPageBreak/>
              <w:t>лиственница, сосна, ель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предельное значение - массив древесины "ценных" пород (твердолиственных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lastRenderedPageBreak/>
              <w:t>береза, лиственница, сосна, ель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предельное значение - массив древесины "ценных" пород (твердолиственных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lastRenderedPageBreak/>
              <w:t>береза, лиственница, сосна, ель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>возможное значение -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t>береза, лиственница, сосна, ель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t>береза, лиственница, сосна, ель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t>береза, лиственница, сосна, ель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t>береза, лиственница, сосна, ель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t>береза, лиственница, сосна, ель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t>береза, лиственница, сосна, ель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возможное значение - древесина хвойных и мягколиственных пород:</w:t>
            </w:r>
          </w:p>
          <w:p w:rsidR="007279BF" w:rsidRDefault="007279BF">
            <w:pPr>
              <w:pStyle w:val="ConsPlusNormal"/>
              <w:jc w:val="center"/>
            </w:pPr>
            <w:r>
              <w:t>береза, лиственница, сосна, ель</w:t>
            </w: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обивочные материалы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значения;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ткань.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возможное значение: нетканые материалы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кожа натуральная;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искусственная кожа;</w:t>
            </w:r>
          </w:p>
          <w:p w:rsidR="007279BF" w:rsidRDefault="007279BF">
            <w:pPr>
              <w:pStyle w:val="ConsPlusNormal"/>
              <w:jc w:val="center"/>
            </w:pPr>
            <w:proofErr w:type="gramStart"/>
            <w: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возможное значение - нетканые материалы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возможное значение: нетканые материалы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предельное значение - ткань;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возможное значение - нетканые материалы</w:t>
            </w: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36.12.11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  <w:r>
              <w:t>материал (металл)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:rsidR="007279BF" w:rsidRDefault="007279BF">
            <w:pPr>
              <w:pStyle w:val="ConsPlusNormal"/>
            </w:pPr>
          </w:p>
        </w:tc>
      </w:tr>
      <w:tr w:rsidR="007279B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>36.12.12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</w:pPr>
            <w:r>
              <w:t xml:space="preserve">Мебель деревянная для офисов, административных </w:t>
            </w:r>
            <w:r>
              <w:lastRenderedPageBreak/>
              <w:t>помещений, учебных заведений, учреждений культуры и т.п.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</w:pPr>
            <w:r>
              <w:lastRenderedPageBreak/>
              <w:t>материал (вид древесины)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t xml:space="preserve">предельное значение - массив </w:t>
            </w:r>
            <w:r>
              <w:lastRenderedPageBreak/>
              <w:t>древесины "ценных" пород (</w:t>
            </w:r>
            <w:proofErr w:type="gramStart"/>
            <w:r>
              <w:t>твердо-лиственных</w:t>
            </w:r>
            <w:proofErr w:type="gramEnd"/>
            <w:r>
              <w:t xml:space="preserve">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предельное значение - массив </w:t>
            </w:r>
            <w:r>
              <w:lastRenderedPageBreak/>
              <w:t>древесины "ценных" пород (</w:t>
            </w:r>
            <w:proofErr w:type="gramStart"/>
            <w:r>
              <w:t>твердо-лиственных</w:t>
            </w:r>
            <w:proofErr w:type="gramEnd"/>
            <w:r>
              <w:t xml:space="preserve">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предельное значение - массив </w:t>
            </w:r>
            <w:r>
              <w:lastRenderedPageBreak/>
              <w:t>древесины "ценных" пород (</w:t>
            </w:r>
            <w:proofErr w:type="gramStart"/>
            <w:r>
              <w:t>твердо-лиственных</w:t>
            </w:r>
            <w:proofErr w:type="gramEnd"/>
            <w:r>
              <w:t xml:space="preserve">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предельное значение - массив </w:t>
            </w:r>
            <w:r>
              <w:lastRenderedPageBreak/>
              <w:t>древесины "ценных" пород (</w:t>
            </w:r>
            <w:proofErr w:type="gramStart"/>
            <w:r>
              <w:t>твердо-лиственных</w:t>
            </w:r>
            <w:proofErr w:type="gramEnd"/>
            <w:r>
              <w:t xml:space="preserve"> и тропических);</w:t>
            </w:r>
          </w:p>
          <w:p w:rsidR="007279BF" w:rsidRDefault="007279BF">
            <w:pPr>
              <w:pStyle w:val="ConsPlusNormal"/>
              <w:jc w:val="center"/>
            </w:pPr>
            <w:r>
              <w:t>возможные значения: древесина хвойных и мягколиственных пород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9BF" w:rsidRDefault="007279BF">
            <w:pPr>
              <w:pStyle w:val="ConsPlusNormal"/>
              <w:jc w:val="center"/>
            </w:pPr>
            <w:r>
              <w:lastRenderedPageBreak/>
              <w:t xml:space="preserve">возможные значения - древесина </w:t>
            </w:r>
            <w:r>
              <w:lastRenderedPageBreak/>
              <w:t>хвойных и мягколиственных пород</w:t>
            </w:r>
          </w:p>
        </w:tc>
      </w:tr>
    </w:tbl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jc w:val="both"/>
      </w:pPr>
    </w:p>
    <w:p w:rsidR="007279BF" w:rsidRDefault="007279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DD1" w:rsidRDefault="00F03DD1"/>
    <w:sectPr w:rsidR="00F03DD1" w:rsidSect="00586EE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BF"/>
    <w:rsid w:val="007279BF"/>
    <w:rsid w:val="00F0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7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79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7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79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A5AD057B8D2DFCECD4CA0E3F40A449FC5B6BF4286F8C5B792484C9DCxBg6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A5AD057B8D2DFCECD4CA0E3F40A449FC5A68F2216C8C5B792484C9DCB6B1BA1D1361E794F73B59x5g7G" TargetMode="External"/><Relationship Id="rId12" Type="http://schemas.openxmlformats.org/officeDocument/2006/relationships/hyperlink" Target="consultantplus://offline/ref=93A5AD057B8D2DFCECD4CA0E3F40A449FC5B6FF72E698C5B792484C9DCxBg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A5AD057B8D2DFCECD4CA0E3F40A449FC5A6EF72C688C5B792484C9DCB6B1BA1D1361E7x9g1G" TargetMode="External"/><Relationship Id="rId11" Type="http://schemas.openxmlformats.org/officeDocument/2006/relationships/hyperlink" Target="consultantplus://offline/ref=93A5AD057B8D2DFCECD4CA0E3F40A449FC5B6BF4286F8C5B792484C9DCxBg6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93A5AD057B8D2DFCECD4CA0E3F40A449FC5B6FF72E698C5B792484C9DCxBg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A5AD057B8D2DFCECD4CA0E3F40A449FC5B6BF4286F8C5B792484C9DCxBg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2015-09-18T06:32:00Z</dcterms:created>
  <dcterms:modified xsi:type="dcterms:W3CDTF">2015-09-18T06:33:00Z</dcterms:modified>
</cp:coreProperties>
</file>